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Grau Pharma GmbH</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Grau Pharma GmbH</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Grau Pharma GmbH</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Chief Executive Officer</w:t>
      </w:r>
      <w:r w:rsidR="000474BF" w:rsidRPr="00661D30">
        <w:rPr>
          <w:b/>
          <w:bCs/>
          <w:sz w:val="28"/>
          <w:szCs w:val="28"/>
          <w:lang w:val="en-US"/>
        </w:rPr>
        <w:t xml:space="preserve">, </w:t>
      </w:r>
      <w:r w:rsidRPr="00661D30">
        <w:rPr>
          <w:b/>
          <w:bCs/>
          <w:sz w:val="28"/>
          <w:szCs w:val="28"/>
          <w:lang w:val="en-US"/>
        </w:rPr>
        <w:t xml:space="preserve">Grau Pharma GmbH</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D1ED4C4-C7FD-4A9A-BC72-DE9F3EC3A5EC}"/>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